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E0721" w:rsidRPr="00D9407E" w:rsidRDefault="000E0721" w:rsidP="000E0721">
      <w:pPr>
        <w:spacing w:after="600"/>
        <w:rPr>
          <w:rFonts w:ascii="Times New Roman" w:hAnsi="Times New Roman"/>
          <w:b/>
          <w:bCs/>
          <w:sz w:val="22"/>
          <w:szCs w:val="22"/>
        </w:rPr>
      </w:pPr>
      <w:r w:rsidRPr="00D9407E">
        <w:rPr>
          <w:rFonts w:ascii="Times New Roman" w:hAnsi="Times New Roman"/>
          <w:b/>
          <w:sz w:val="22"/>
          <w:szCs w:val="22"/>
          <w:lang w:val="en-GB"/>
        </w:rPr>
        <w:t xml:space="preserve">Contract title: </w:t>
      </w:r>
      <w:r w:rsidR="00A23828">
        <w:rPr>
          <w:rFonts w:ascii="Times New Roman" w:hAnsi="Times New Roman"/>
          <w:b/>
          <w:bCs/>
          <w:sz w:val="22"/>
          <w:szCs w:val="22"/>
        </w:rPr>
        <w:t xml:space="preserve">Office equitment </w:t>
      </w:r>
      <w:r>
        <w:rPr>
          <w:rFonts w:ascii="Times New Roman" w:hAnsi="Times New Roman"/>
          <w:b/>
          <w:sz w:val="22"/>
          <w:szCs w:val="22"/>
          <w:lang w:val="en-GB"/>
        </w:rPr>
        <w:tab/>
      </w:r>
    </w:p>
    <w:p w:rsidR="008766DD" w:rsidRPr="000E0721" w:rsidRDefault="000E0721" w:rsidP="000E0721">
      <w:pPr>
        <w:spacing w:after="600"/>
        <w:rPr>
          <w:rFonts w:ascii="Times New Roman" w:hAnsi="Times New Roman"/>
          <w:b/>
          <w:bCs/>
          <w:sz w:val="22"/>
          <w:szCs w:val="22"/>
        </w:rPr>
      </w:pPr>
      <w:r w:rsidRPr="00D9407E">
        <w:rPr>
          <w:rFonts w:ascii="Times New Roman" w:hAnsi="Times New Roman"/>
          <w:b/>
          <w:sz w:val="22"/>
          <w:szCs w:val="22"/>
          <w:lang w:val="en-GB"/>
        </w:rPr>
        <w:t>Publication reference:</w:t>
      </w:r>
      <w:r w:rsidRPr="00D9407E">
        <w:rPr>
          <w:rFonts w:ascii="Times New Roman" w:hAnsi="Times New Roman"/>
          <w:sz w:val="22"/>
          <w:szCs w:val="22"/>
          <w:lang w:val="en-GB"/>
        </w:rPr>
        <w:t xml:space="preserve"> </w:t>
      </w:r>
      <w:r w:rsidRPr="00D9407E">
        <w:rPr>
          <w:rFonts w:ascii="Times New Roman" w:hAnsi="Times New Roman"/>
          <w:sz w:val="22"/>
          <w:szCs w:val="22"/>
        </w:rPr>
        <w:t xml:space="preserve"> </w:t>
      </w:r>
      <w:r w:rsidRPr="0048290D">
        <w:rPr>
          <w:rFonts w:ascii="Times New Roman" w:hAnsi="Times New Roman"/>
          <w:sz w:val="22"/>
          <w:szCs w:val="22"/>
          <w:lang w:val="en-GB"/>
        </w:rPr>
        <w:t>CONSE-PP-CN1-SO2.3-SC035</w:t>
      </w:r>
      <w:r>
        <w:rPr>
          <w:rFonts w:ascii="Times New Roman" w:hAnsi="Times New Roman"/>
          <w:sz w:val="22"/>
          <w:szCs w:val="22"/>
          <w:lang w:val="en-GB"/>
        </w:rPr>
        <w:t>-05-03-</w:t>
      </w:r>
      <w:r w:rsidR="008F5ABE">
        <w:rPr>
          <w:rFonts w:ascii="Times New Roman" w:hAnsi="Times New Roman"/>
          <w:sz w:val="22"/>
          <w:szCs w:val="22"/>
          <w:lang w:val="en-GB"/>
        </w:rPr>
        <w:t>422/1</w:t>
      </w: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104DB7" w:rsidRDefault="005C4176" w:rsidP="00E9412A">
      <w:pPr>
        <w:ind w:left="567" w:hanging="567"/>
        <w:jc w:val="both"/>
        <w:rPr>
          <w:rFonts w:ascii="Times New Roman" w:hAnsi="Times New Roman"/>
          <w:sz w:val="22"/>
          <w:szCs w:val="22"/>
          <w:lang w:val="en-GB"/>
        </w:rPr>
      </w:pPr>
      <w:r>
        <w:rPr>
          <w:rFonts w:ascii="Times New Roman" w:hAnsi="Times New Roman"/>
          <w:sz w:val="22"/>
          <w:szCs w:val="22"/>
          <w:lang w:val="en-GB"/>
        </w:rPr>
        <w:br w:type="page"/>
      </w:r>
      <w:bookmarkStart w:id="1" w:name="_GoBack"/>
      <w:bookmarkEnd w:id="1"/>
    </w:p>
    <w:p w:rsidR="008F5ABE" w:rsidRPr="009603A5" w:rsidRDefault="008F5ABE" w:rsidP="008F5ABE">
      <w:pPr>
        <w:shd w:val="clear" w:color="auto" w:fill="FFFFFF"/>
        <w:spacing w:before="0" w:after="0"/>
        <w:rPr>
          <w:rFonts w:ascii="Times New Roman" w:hAnsi="Times New Roman"/>
          <w:b/>
          <w:bCs/>
          <w:i/>
          <w:szCs w:val="24"/>
        </w:rPr>
      </w:pPr>
      <w:r w:rsidRPr="009603A5">
        <w:rPr>
          <w:rFonts w:ascii="Times New Roman" w:hAnsi="Times New Roman"/>
          <w:b/>
          <w:bCs/>
          <w:i/>
          <w:szCs w:val="24"/>
        </w:rPr>
        <w:t xml:space="preserve">Lot 2. Office furniture </w:t>
      </w:r>
    </w:p>
    <w:p w:rsidR="008F5ABE" w:rsidRDefault="008F5ABE" w:rsidP="008F5ABE"/>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1725"/>
        <w:gridCol w:w="5103"/>
        <w:gridCol w:w="1491"/>
        <w:gridCol w:w="2166"/>
        <w:gridCol w:w="2976"/>
      </w:tblGrid>
      <w:tr w:rsidR="008F5ABE" w:rsidRPr="00F5265C" w:rsidTr="00AC48C6">
        <w:trPr>
          <w:trHeight w:val="879"/>
        </w:trPr>
        <w:tc>
          <w:tcPr>
            <w:tcW w:w="714" w:type="dxa"/>
            <w:shd w:val="pct5" w:color="auto" w:fill="FFFFFF"/>
          </w:tcPr>
          <w:p w:rsidR="008F5ABE" w:rsidRPr="00F5265C" w:rsidRDefault="008F5ABE" w:rsidP="00AC48C6">
            <w:pPr>
              <w:jc w:val="center"/>
              <w:rPr>
                <w:rFonts w:ascii="Times New Roman" w:hAnsi="Times New Roman"/>
                <w:b/>
              </w:rPr>
            </w:pPr>
            <w:r w:rsidRPr="00F5265C">
              <w:rPr>
                <w:rFonts w:ascii="Times New Roman" w:hAnsi="Times New Roman"/>
                <w:b/>
              </w:rPr>
              <w:t>1.</w:t>
            </w:r>
          </w:p>
          <w:p w:rsidR="008F5ABE" w:rsidRPr="00F5265C" w:rsidRDefault="008F5ABE" w:rsidP="00AC48C6">
            <w:pPr>
              <w:jc w:val="center"/>
              <w:rPr>
                <w:rFonts w:ascii="Times New Roman" w:hAnsi="Times New Roman"/>
                <w:b/>
              </w:rPr>
            </w:pPr>
            <w:r w:rsidRPr="00F5265C">
              <w:rPr>
                <w:rFonts w:ascii="Times New Roman" w:hAnsi="Times New Roman"/>
                <w:b/>
              </w:rPr>
              <w:t>Item number</w:t>
            </w:r>
          </w:p>
        </w:tc>
        <w:tc>
          <w:tcPr>
            <w:tcW w:w="6828" w:type="dxa"/>
            <w:gridSpan w:val="2"/>
            <w:shd w:val="pct5" w:color="auto" w:fill="FFFFFF"/>
          </w:tcPr>
          <w:p w:rsidR="008F5ABE" w:rsidRPr="00F5265C" w:rsidRDefault="008F5ABE" w:rsidP="00AC48C6">
            <w:pPr>
              <w:jc w:val="center"/>
              <w:rPr>
                <w:rFonts w:ascii="Times New Roman" w:hAnsi="Times New Roman"/>
                <w:b/>
              </w:rPr>
            </w:pPr>
            <w:r w:rsidRPr="00F5265C">
              <w:rPr>
                <w:rFonts w:ascii="Times New Roman" w:hAnsi="Times New Roman"/>
                <w:b/>
              </w:rPr>
              <w:t>2.</w:t>
            </w:r>
          </w:p>
          <w:p w:rsidR="008F5ABE" w:rsidRPr="00F5265C" w:rsidRDefault="008F5ABE" w:rsidP="00AC48C6">
            <w:pPr>
              <w:jc w:val="center"/>
              <w:rPr>
                <w:rFonts w:ascii="Times New Roman" w:hAnsi="Times New Roman"/>
                <w:b/>
              </w:rPr>
            </w:pPr>
            <w:r w:rsidRPr="00F5265C">
              <w:rPr>
                <w:rFonts w:ascii="Times New Roman" w:hAnsi="Times New Roman"/>
                <w:b/>
              </w:rPr>
              <w:t>Specifications required</w:t>
            </w:r>
          </w:p>
        </w:tc>
        <w:tc>
          <w:tcPr>
            <w:tcW w:w="1491" w:type="dxa"/>
            <w:shd w:val="pct5" w:color="auto" w:fill="FFFFFF"/>
          </w:tcPr>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3.</w:t>
            </w:r>
          </w:p>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Specifications offered</w:t>
            </w:r>
          </w:p>
        </w:tc>
        <w:tc>
          <w:tcPr>
            <w:tcW w:w="2166" w:type="dxa"/>
            <w:shd w:val="pct5" w:color="auto" w:fill="FFFFFF"/>
          </w:tcPr>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 xml:space="preserve">4. </w:t>
            </w:r>
          </w:p>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 xml:space="preserve">Notes, remarks, </w:t>
            </w:r>
            <w:r w:rsidRPr="00F5265C">
              <w:rPr>
                <w:rFonts w:ascii="Times New Roman" w:hAnsi="Times New Roman"/>
                <w:b/>
              </w:rPr>
              <w:br/>
              <w:t>ref to documentation</w:t>
            </w:r>
          </w:p>
        </w:tc>
        <w:tc>
          <w:tcPr>
            <w:tcW w:w="2976" w:type="dxa"/>
            <w:shd w:val="pct5" w:color="auto" w:fill="FFFFFF"/>
          </w:tcPr>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5.</w:t>
            </w:r>
          </w:p>
          <w:p w:rsidR="008F5ABE" w:rsidRPr="00F5265C" w:rsidRDefault="008F5ABE" w:rsidP="00AC48C6">
            <w:pPr>
              <w:tabs>
                <w:tab w:val="left" w:pos="729"/>
              </w:tabs>
              <w:jc w:val="center"/>
              <w:rPr>
                <w:rFonts w:ascii="Times New Roman" w:hAnsi="Times New Roman"/>
                <w:b/>
              </w:rPr>
            </w:pPr>
            <w:r w:rsidRPr="00F5265C">
              <w:rPr>
                <w:rFonts w:ascii="Times New Roman" w:hAnsi="Times New Roman"/>
                <w:b/>
              </w:rPr>
              <w:t xml:space="preserve">Evaluation committee’s notes </w:t>
            </w:r>
          </w:p>
        </w:tc>
      </w:tr>
      <w:tr w:rsidR="008F5ABE" w:rsidRPr="00F5265C" w:rsidTr="00AC48C6">
        <w:trPr>
          <w:trHeight w:val="403"/>
        </w:trPr>
        <w:tc>
          <w:tcPr>
            <w:tcW w:w="714" w:type="dxa"/>
          </w:tcPr>
          <w:p w:rsidR="008F5ABE" w:rsidRPr="00F5265C" w:rsidRDefault="008F5ABE" w:rsidP="00AC48C6">
            <w:pPr>
              <w:spacing w:before="0" w:after="0"/>
              <w:rPr>
                <w:rFonts w:ascii="Times New Roman" w:hAnsi="Times New Roman"/>
                <w:b/>
              </w:rPr>
            </w:pPr>
          </w:p>
        </w:tc>
        <w:tc>
          <w:tcPr>
            <w:tcW w:w="6828" w:type="dxa"/>
            <w:gridSpan w:val="2"/>
          </w:tcPr>
          <w:p w:rsidR="008F5ABE" w:rsidRPr="009603A5" w:rsidRDefault="008F5ABE" w:rsidP="00AC48C6">
            <w:pPr>
              <w:shd w:val="clear" w:color="auto" w:fill="FFFFFF"/>
              <w:spacing w:before="0" w:after="0"/>
              <w:jc w:val="center"/>
              <w:rPr>
                <w:rFonts w:ascii="Times New Roman" w:hAnsi="Times New Roman"/>
                <w:b/>
                <w:bCs/>
                <w:i/>
                <w:szCs w:val="24"/>
              </w:rPr>
            </w:pPr>
            <w:r w:rsidRPr="009603A5">
              <w:rPr>
                <w:rFonts w:ascii="Times New Roman" w:hAnsi="Times New Roman"/>
                <w:b/>
                <w:bCs/>
                <w:i/>
                <w:szCs w:val="24"/>
              </w:rPr>
              <w:t>Lot 2. Office furniture</w:t>
            </w:r>
          </w:p>
          <w:p w:rsidR="008F5ABE" w:rsidRPr="00F5265C" w:rsidRDefault="008F5ABE" w:rsidP="00AC48C6">
            <w:pPr>
              <w:spacing w:before="0" w:after="0"/>
              <w:jc w:val="center"/>
              <w:rPr>
                <w:rFonts w:ascii="Times New Roman" w:hAnsi="Times New Roman"/>
                <w:b/>
                <w:bCs/>
              </w:rPr>
            </w:pPr>
          </w:p>
        </w:tc>
        <w:tc>
          <w:tcPr>
            <w:tcW w:w="1491" w:type="dxa"/>
            <w:vAlign w:val="center"/>
          </w:tcPr>
          <w:p w:rsidR="008F5ABE" w:rsidRPr="00F5265C" w:rsidRDefault="008F5ABE" w:rsidP="00AC48C6">
            <w:pPr>
              <w:spacing w:before="0" w:after="0"/>
              <w:rPr>
                <w:rFonts w:ascii="Times New Roman" w:hAnsi="Times New Roman"/>
                <w:b/>
              </w:rPr>
            </w:pPr>
          </w:p>
        </w:tc>
        <w:tc>
          <w:tcPr>
            <w:tcW w:w="2166" w:type="dxa"/>
          </w:tcPr>
          <w:p w:rsidR="008F5ABE" w:rsidRPr="00F5265C" w:rsidRDefault="008F5ABE" w:rsidP="00AC48C6">
            <w:pPr>
              <w:spacing w:before="0" w:after="0"/>
              <w:rPr>
                <w:rFonts w:ascii="Times New Roman" w:hAnsi="Times New Roman"/>
                <w:b/>
              </w:rPr>
            </w:pPr>
          </w:p>
        </w:tc>
        <w:tc>
          <w:tcPr>
            <w:tcW w:w="2976" w:type="dxa"/>
          </w:tcPr>
          <w:p w:rsidR="008F5ABE" w:rsidRPr="00F5265C" w:rsidRDefault="008F5ABE" w:rsidP="00AC48C6">
            <w:pPr>
              <w:tabs>
                <w:tab w:val="left" w:pos="729"/>
              </w:tabs>
              <w:spacing w:before="0" w:after="0"/>
              <w:jc w:val="cente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2.</w:t>
            </w:r>
          </w:p>
        </w:tc>
        <w:tc>
          <w:tcPr>
            <w:tcW w:w="1725" w:type="dxa"/>
            <w:vAlign w:val="center"/>
          </w:tcPr>
          <w:p w:rsidR="008F5ABE" w:rsidRPr="00F5265C" w:rsidRDefault="008F5ABE" w:rsidP="00AC48C6">
            <w:pPr>
              <w:rPr>
                <w:rFonts w:ascii="Times New Roman" w:hAnsi="Times New Roman"/>
                <w:b/>
              </w:rPr>
            </w:pPr>
            <w:r w:rsidRPr="00BC50CD">
              <w:rPr>
                <w:rFonts w:ascii="Times New Roman" w:hAnsi="Times New Roman"/>
              </w:rPr>
              <w:t>Office Desk</w:t>
            </w:r>
          </w:p>
        </w:tc>
        <w:tc>
          <w:tcPr>
            <w:tcW w:w="5103" w:type="dxa"/>
            <w:vAlign w:val="center"/>
          </w:tcPr>
          <w:p w:rsidR="008F5ABE" w:rsidRPr="00BC50CD" w:rsidRDefault="008F5ABE" w:rsidP="008F5ABE">
            <w:pPr>
              <w:numPr>
                <w:ilvl w:val="0"/>
                <w:numId w:val="42"/>
              </w:numPr>
              <w:spacing w:before="0" w:after="0"/>
              <w:rPr>
                <w:rFonts w:ascii="Times New Roman" w:hAnsi="Times New Roman"/>
                <w:b/>
              </w:rPr>
            </w:pPr>
            <w:r w:rsidRPr="00BC50CD">
              <w:rPr>
                <w:rFonts w:ascii="Times New Roman" w:hAnsi="Times New Roman"/>
              </w:rPr>
              <w:t>L‐Shaped Desk with 2 file drawers, 1 box drawer, 1 storage part with door and lock,  Frontal  dimension:  160x80x72,5cm,  Side  dimension:  120x60x72,5cm,  Material:  Thermally  fused  laminate over engineered wood</w:t>
            </w:r>
          </w:p>
          <w:p w:rsidR="008F5ABE" w:rsidRPr="00F5265C" w:rsidRDefault="008F5ABE" w:rsidP="008F5ABE">
            <w:pPr>
              <w:numPr>
                <w:ilvl w:val="0"/>
                <w:numId w:val="42"/>
              </w:numPr>
              <w:spacing w:before="0" w:after="0"/>
              <w:rPr>
                <w:rFonts w:ascii="Times New Roman" w:hAnsi="Times New Roman"/>
                <w:b/>
              </w:rPr>
            </w:pPr>
            <w:r w:rsidRPr="00F5265C">
              <w:rPr>
                <w:rFonts w:ascii="Times New Roman" w:hAnsi="Times New Roman"/>
              </w:rPr>
              <w:t>Warranty: minimum 1 year</w:t>
            </w:r>
          </w:p>
        </w:tc>
        <w:tc>
          <w:tcPr>
            <w:tcW w:w="1491" w:type="dxa"/>
          </w:tcPr>
          <w:p w:rsidR="008F5ABE" w:rsidRPr="00F5265C" w:rsidRDefault="008F5ABE" w:rsidP="00AC48C6">
            <w:pPr>
              <w:rPr>
                <w:rFonts w:ascii="Times New Roman" w:hAnsi="Times New Roman"/>
                <w:b/>
              </w:rPr>
            </w:pPr>
            <w:r w:rsidRPr="00F5265C">
              <w:rPr>
                <w:rFonts w:ascii="Times New Roman" w:hAnsi="Times New Roman"/>
              </w:rPr>
              <w:t xml:space="preserve"> </w:t>
            </w: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3.</w:t>
            </w:r>
          </w:p>
        </w:tc>
        <w:tc>
          <w:tcPr>
            <w:tcW w:w="1725" w:type="dxa"/>
          </w:tcPr>
          <w:p w:rsidR="008F5ABE" w:rsidRPr="00F5265C" w:rsidRDefault="008F5ABE" w:rsidP="00AC48C6">
            <w:pPr>
              <w:rPr>
                <w:rFonts w:ascii="Times New Roman" w:hAnsi="Times New Roman"/>
                <w:b/>
              </w:rPr>
            </w:pPr>
            <w:r w:rsidRPr="00BC50CD">
              <w:rPr>
                <w:rFonts w:ascii="Times New Roman" w:hAnsi="Times New Roman"/>
              </w:rPr>
              <w:t> Office Desk Chair</w:t>
            </w:r>
            <w:r w:rsidRPr="00F5265C">
              <w:rPr>
                <w:rFonts w:ascii="Times New Roman" w:hAnsi="Times New Roman"/>
              </w:rPr>
              <w:t> </w:t>
            </w:r>
          </w:p>
        </w:tc>
        <w:tc>
          <w:tcPr>
            <w:tcW w:w="5103" w:type="dxa"/>
          </w:tcPr>
          <w:p w:rsidR="008F5ABE" w:rsidRPr="00BC50CD" w:rsidRDefault="008F5ABE" w:rsidP="008F5ABE">
            <w:pPr>
              <w:numPr>
                <w:ilvl w:val="0"/>
                <w:numId w:val="43"/>
              </w:numPr>
              <w:rPr>
                <w:rFonts w:ascii="Times New Roman" w:hAnsi="Times New Roman"/>
                <w:b/>
              </w:rPr>
            </w:pPr>
            <w:r w:rsidRPr="00F5265C">
              <w:rPr>
                <w:rFonts w:ascii="Times New Roman" w:hAnsi="Times New Roman"/>
              </w:rPr>
              <w:t> </w:t>
            </w:r>
            <w:r w:rsidRPr="00BC50CD">
              <w:rPr>
                <w:rFonts w:ascii="Times New Roman" w:hAnsi="Times New Roman"/>
              </w:rPr>
              <w:t>Width: 66 cm, Height: 111/121 cm, Depth: 72 cm, Seat height: 47/57 cm, Material:  Seat: Plywood, Back: Plywood, Armrest: Polyester/polypropylene, Leg: Metal, Color: Black and Chrome,  Function: Friction casters, Height‐adjustable, Lock mechanism, Metal base, Steeples tilt mechanism</w:t>
            </w:r>
          </w:p>
          <w:p w:rsidR="008F5ABE" w:rsidRPr="00F5265C" w:rsidRDefault="008F5ABE" w:rsidP="008F5ABE">
            <w:pPr>
              <w:numPr>
                <w:ilvl w:val="0"/>
                <w:numId w:val="43"/>
              </w:numPr>
              <w:rPr>
                <w:rFonts w:ascii="Times New Roman" w:hAnsi="Times New Roman"/>
                <w:b/>
              </w:rPr>
            </w:pPr>
            <w:r w:rsidRPr="00F5265C">
              <w:rPr>
                <w:rFonts w:ascii="Times New Roman" w:hAnsi="Times New Roman"/>
              </w:rPr>
              <w:t>Warranty: minimum 1 year</w:t>
            </w:r>
          </w:p>
        </w:tc>
        <w:tc>
          <w:tcPr>
            <w:tcW w:w="1491" w:type="dxa"/>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tabs>
                <w:tab w:val="left" w:pos="729"/>
              </w:tabs>
              <w:jc w:val="cente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4.</w:t>
            </w:r>
          </w:p>
        </w:tc>
        <w:tc>
          <w:tcPr>
            <w:tcW w:w="1725" w:type="dxa"/>
          </w:tcPr>
          <w:p w:rsidR="008F5ABE" w:rsidRPr="00F5265C" w:rsidRDefault="008F5ABE" w:rsidP="00AC48C6">
            <w:pPr>
              <w:rPr>
                <w:rFonts w:ascii="Times New Roman" w:hAnsi="Times New Roman"/>
                <w:b/>
              </w:rPr>
            </w:pPr>
            <w:r w:rsidRPr="00BC50CD">
              <w:rPr>
                <w:rFonts w:ascii="Times New Roman" w:hAnsi="Times New Roman"/>
              </w:rPr>
              <w:t>Meeting Table</w:t>
            </w:r>
          </w:p>
        </w:tc>
        <w:tc>
          <w:tcPr>
            <w:tcW w:w="5103" w:type="dxa"/>
            <w:vAlign w:val="center"/>
          </w:tcPr>
          <w:p w:rsidR="008F5ABE" w:rsidRPr="00BC50CD" w:rsidRDefault="008F5ABE" w:rsidP="008F5ABE">
            <w:pPr>
              <w:numPr>
                <w:ilvl w:val="0"/>
                <w:numId w:val="44"/>
              </w:numPr>
              <w:spacing w:before="0" w:after="0"/>
              <w:rPr>
                <w:rFonts w:ascii="Times New Roman" w:hAnsi="Times New Roman"/>
                <w:b/>
              </w:rPr>
            </w:pPr>
            <w:r w:rsidRPr="00BC50CD">
              <w:rPr>
                <w:rFonts w:ascii="Times New Roman" w:hAnsi="Times New Roman"/>
              </w:rPr>
              <w:t>Dimension: 220x126x72,5cm, Material: Thermally fused laminate over engineered  wood</w:t>
            </w:r>
          </w:p>
          <w:p w:rsidR="008F5ABE" w:rsidRPr="00F5265C" w:rsidRDefault="008F5ABE" w:rsidP="008F5ABE">
            <w:pPr>
              <w:numPr>
                <w:ilvl w:val="0"/>
                <w:numId w:val="44"/>
              </w:numPr>
              <w:spacing w:before="0" w:after="0"/>
              <w:rPr>
                <w:rFonts w:ascii="Times New Roman" w:hAnsi="Times New Roman"/>
                <w:b/>
              </w:rPr>
            </w:pPr>
            <w:r w:rsidRPr="00F5265C">
              <w:rPr>
                <w:rFonts w:ascii="Times New Roman" w:hAnsi="Times New Roman"/>
              </w:rPr>
              <w:t xml:space="preserve"> Warranty: minimum 1 year</w:t>
            </w:r>
          </w:p>
        </w:tc>
        <w:tc>
          <w:tcPr>
            <w:tcW w:w="1491" w:type="dxa"/>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5.</w:t>
            </w:r>
          </w:p>
        </w:tc>
        <w:tc>
          <w:tcPr>
            <w:tcW w:w="1725" w:type="dxa"/>
          </w:tcPr>
          <w:p w:rsidR="008F5ABE" w:rsidRPr="00F5265C" w:rsidRDefault="008F5ABE" w:rsidP="00AC48C6">
            <w:pPr>
              <w:rPr>
                <w:rFonts w:ascii="Times New Roman" w:hAnsi="Times New Roman"/>
                <w:b/>
              </w:rPr>
            </w:pPr>
            <w:r w:rsidRPr="00BC50CD">
              <w:rPr>
                <w:rFonts w:ascii="Times New Roman" w:hAnsi="Times New Roman"/>
              </w:rPr>
              <w:t>Meeting Table Chair</w:t>
            </w:r>
          </w:p>
        </w:tc>
        <w:tc>
          <w:tcPr>
            <w:tcW w:w="5103" w:type="dxa"/>
            <w:vAlign w:val="center"/>
          </w:tcPr>
          <w:p w:rsidR="008F5ABE" w:rsidRPr="00BC50CD" w:rsidRDefault="008F5ABE" w:rsidP="008F5ABE">
            <w:pPr>
              <w:pStyle w:val="Default"/>
              <w:numPr>
                <w:ilvl w:val="0"/>
                <w:numId w:val="44"/>
              </w:numPr>
              <w:rPr>
                <w:rFonts w:ascii="Times New Roman" w:hAnsi="Times New Roman" w:cs="Times New Roman"/>
                <w:color w:val="auto"/>
                <w:sz w:val="20"/>
                <w:szCs w:val="20"/>
              </w:rPr>
            </w:pPr>
            <w:r w:rsidRPr="00BC50CD">
              <w:rPr>
                <w:rFonts w:ascii="Times New Roman" w:hAnsi="Times New Roman" w:cs="Times New Roman"/>
                <w:sz w:val="20"/>
                <w:szCs w:val="20"/>
              </w:rPr>
              <w:t> Width: 55 cm, Height: 82 cm, Depth: 43 cm, Seat height: 47 cm, Seat depth: 41  cm, Material: Cotton/polyester, Foam, Plywood, Steel, Treatment: Lacquer, Color: Black</w:t>
            </w:r>
          </w:p>
          <w:p w:rsidR="008F5ABE" w:rsidRPr="00F5265C" w:rsidRDefault="008F5ABE" w:rsidP="008F5ABE">
            <w:pPr>
              <w:pStyle w:val="Default"/>
              <w:numPr>
                <w:ilvl w:val="0"/>
                <w:numId w:val="44"/>
              </w:numPr>
              <w:rPr>
                <w:rFonts w:ascii="Times New Roman" w:hAnsi="Times New Roman" w:cs="Times New Roman"/>
                <w:color w:val="auto"/>
                <w:sz w:val="20"/>
                <w:szCs w:val="20"/>
              </w:rPr>
            </w:pPr>
            <w:r w:rsidRPr="00F5265C">
              <w:rPr>
                <w:rFonts w:ascii="Times New Roman" w:hAnsi="Times New Roman" w:cs="Times New Roman"/>
                <w:sz w:val="20"/>
                <w:szCs w:val="20"/>
                <w:lang w:val="en-GB"/>
              </w:rPr>
              <w:t>Warranty: minimum 1 year</w:t>
            </w:r>
          </w:p>
        </w:tc>
        <w:tc>
          <w:tcPr>
            <w:tcW w:w="1491" w:type="dxa"/>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6</w:t>
            </w:r>
          </w:p>
        </w:tc>
        <w:tc>
          <w:tcPr>
            <w:tcW w:w="1725" w:type="dxa"/>
          </w:tcPr>
          <w:p w:rsidR="008F5ABE" w:rsidRPr="00F5265C" w:rsidRDefault="008F5ABE" w:rsidP="00AC48C6">
            <w:pPr>
              <w:rPr>
                <w:rFonts w:ascii="Times New Roman" w:hAnsi="Times New Roman"/>
              </w:rPr>
            </w:pPr>
            <w:r w:rsidRPr="00BC50CD">
              <w:rPr>
                <w:rFonts w:ascii="Times New Roman" w:hAnsi="Times New Roman"/>
              </w:rPr>
              <w:t> Wall Cabinet for </w:t>
            </w:r>
            <w:r w:rsidRPr="00BC50CD">
              <w:rPr>
                <w:rFonts w:ascii="Times New Roman" w:hAnsi="Times New Roman"/>
              </w:rPr>
              <w:lastRenderedPageBreak/>
              <w:t>Storage of Herbal Material</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lastRenderedPageBreak/>
              <w:t> </w:t>
            </w:r>
            <w:r w:rsidRPr="00BC50CD">
              <w:rPr>
                <w:rFonts w:ascii="Times New Roman" w:hAnsi="Times New Roman" w:cs="Times New Roman"/>
                <w:sz w:val="20"/>
                <w:szCs w:val="20"/>
              </w:rPr>
              <w:t xml:space="preserve">Dimension: 320x220x60cm, Segments: 4, Shelves: 6 per  </w:t>
            </w:r>
            <w:r w:rsidRPr="00BC50CD">
              <w:rPr>
                <w:rFonts w:ascii="Times New Roman" w:hAnsi="Times New Roman" w:cs="Times New Roman"/>
                <w:sz w:val="20"/>
                <w:szCs w:val="20"/>
              </w:rPr>
              <w:lastRenderedPageBreak/>
              <w:t>segment, Doors with locks, Material: Thermally fused laminate over engineered wood</w:t>
            </w:r>
            <w:r w:rsidRPr="00F5265C">
              <w:rPr>
                <w:rFonts w:ascii="Times New Roman" w:hAnsi="Times New Roman" w:cs="Times New Roman"/>
                <w:sz w:val="20"/>
                <w:szCs w:val="20"/>
                <w:lang w:val="en-GB"/>
              </w:rPr>
              <w:t>Warranty: minimum 1 year</w:t>
            </w:r>
          </w:p>
        </w:tc>
        <w:tc>
          <w:tcPr>
            <w:tcW w:w="1491" w:type="dxa"/>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bl>
    <w:p w:rsidR="008F5ABE" w:rsidRDefault="008F5ABE" w:rsidP="008F5ABE"/>
    <w:p w:rsidR="008F5ABE" w:rsidRPr="00D10EF9" w:rsidRDefault="008F5ABE" w:rsidP="00D10EF9">
      <w:pPr>
        <w:rPr>
          <w:rFonts w:ascii="Times New Roman" w:hAnsi="Times New Roman"/>
          <w:sz w:val="22"/>
          <w:szCs w:val="22"/>
          <w:lang w:val="en-GB"/>
        </w:rPr>
      </w:pPr>
    </w:p>
    <w:sectPr w:rsidR="008F5ABE"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9F0" w:rsidRDefault="003A79F0">
      <w:r>
        <w:separator/>
      </w:r>
    </w:p>
  </w:endnote>
  <w:endnote w:type="continuationSeparator" w:id="0">
    <w:p w:rsidR="003A79F0" w:rsidRDefault="003A7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9412A">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9412A">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9412A">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9412A">
      <w:rPr>
        <w:rFonts w:ascii="Times New Roman" w:hAnsi="Times New Roman"/>
        <w:noProof/>
        <w:sz w:val="18"/>
        <w:szCs w:val="18"/>
        <w:lang w:val="en-GB"/>
      </w:rPr>
      <w:t>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9F0" w:rsidRDefault="003A79F0">
      <w:r>
        <w:separator/>
      </w:r>
    </w:p>
  </w:footnote>
  <w:footnote w:type="continuationSeparator" w:id="0">
    <w:p w:rsidR="003A79F0" w:rsidRDefault="003A7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63E8D"/>
    <w:multiLevelType w:val="hybridMultilevel"/>
    <w:tmpl w:val="BA421FB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07D1076F"/>
    <w:multiLevelType w:val="hybridMultilevel"/>
    <w:tmpl w:val="FCF87F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9E416A9"/>
    <w:multiLevelType w:val="hybridMultilevel"/>
    <w:tmpl w:val="FDA4265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5E6D37"/>
    <w:multiLevelType w:val="hybridMultilevel"/>
    <w:tmpl w:val="28F48164"/>
    <w:lvl w:ilvl="0" w:tplc="042F0001">
      <w:start w:val="1"/>
      <w:numFmt w:val="bullet"/>
      <w:lvlText w:val=""/>
      <w:lvlJc w:val="left"/>
      <w:pPr>
        <w:ind w:left="644" w:hanging="360"/>
      </w:pPr>
      <w:rPr>
        <w:rFonts w:ascii="Symbol" w:hAnsi="Symbol" w:hint="default"/>
      </w:rPr>
    </w:lvl>
    <w:lvl w:ilvl="1" w:tplc="042F0003" w:tentative="1">
      <w:start w:val="1"/>
      <w:numFmt w:val="bullet"/>
      <w:lvlText w:val="o"/>
      <w:lvlJc w:val="left"/>
      <w:pPr>
        <w:ind w:left="1364" w:hanging="360"/>
      </w:pPr>
      <w:rPr>
        <w:rFonts w:ascii="Courier New" w:hAnsi="Courier New" w:cs="Courier New" w:hint="default"/>
      </w:rPr>
    </w:lvl>
    <w:lvl w:ilvl="2" w:tplc="042F0005" w:tentative="1">
      <w:start w:val="1"/>
      <w:numFmt w:val="bullet"/>
      <w:lvlText w:val=""/>
      <w:lvlJc w:val="left"/>
      <w:pPr>
        <w:ind w:left="2084" w:hanging="360"/>
      </w:pPr>
      <w:rPr>
        <w:rFonts w:ascii="Wingdings" w:hAnsi="Wingdings" w:hint="default"/>
      </w:rPr>
    </w:lvl>
    <w:lvl w:ilvl="3" w:tplc="042F0001" w:tentative="1">
      <w:start w:val="1"/>
      <w:numFmt w:val="bullet"/>
      <w:lvlText w:val=""/>
      <w:lvlJc w:val="left"/>
      <w:pPr>
        <w:ind w:left="2804" w:hanging="360"/>
      </w:pPr>
      <w:rPr>
        <w:rFonts w:ascii="Symbol" w:hAnsi="Symbol" w:hint="default"/>
      </w:rPr>
    </w:lvl>
    <w:lvl w:ilvl="4" w:tplc="042F0003" w:tentative="1">
      <w:start w:val="1"/>
      <w:numFmt w:val="bullet"/>
      <w:lvlText w:val="o"/>
      <w:lvlJc w:val="left"/>
      <w:pPr>
        <w:ind w:left="3524" w:hanging="360"/>
      </w:pPr>
      <w:rPr>
        <w:rFonts w:ascii="Courier New" w:hAnsi="Courier New" w:cs="Courier New" w:hint="default"/>
      </w:rPr>
    </w:lvl>
    <w:lvl w:ilvl="5" w:tplc="042F0005" w:tentative="1">
      <w:start w:val="1"/>
      <w:numFmt w:val="bullet"/>
      <w:lvlText w:val=""/>
      <w:lvlJc w:val="left"/>
      <w:pPr>
        <w:ind w:left="4244" w:hanging="360"/>
      </w:pPr>
      <w:rPr>
        <w:rFonts w:ascii="Wingdings" w:hAnsi="Wingdings" w:hint="default"/>
      </w:rPr>
    </w:lvl>
    <w:lvl w:ilvl="6" w:tplc="042F0001" w:tentative="1">
      <w:start w:val="1"/>
      <w:numFmt w:val="bullet"/>
      <w:lvlText w:val=""/>
      <w:lvlJc w:val="left"/>
      <w:pPr>
        <w:ind w:left="4964" w:hanging="360"/>
      </w:pPr>
      <w:rPr>
        <w:rFonts w:ascii="Symbol" w:hAnsi="Symbol" w:hint="default"/>
      </w:rPr>
    </w:lvl>
    <w:lvl w:ilvl="7" w:tplc="042F0003" w:tentative="1">
      <w:start w:val="1"/>
      <w:numFmt w:val="bullet"/>
      <w:lvlText w:val="o"/>
      <w:lvlJc w:val="left"/>
      <w:pPr>
        <w:ind w:left="5684" w:hanging="360"/>
      </w:pPr>
      <w:rPr>
        <w:rFonts w:ascii="Courier New" w:hAnsi="Courier New" w:cs="Courier New" w:hint="default"/>
      </w:rPr>
    </w:lvl>
    <w:lvl w:ilvl="8" w:tplc="042F0005" w:tentative="1">
      <w:start w:val="1"/>
      <w:numFmt w:val="bullet"/>
      <w:lvlText w:val=""/>
      <w:lvlJc w:val="left"/>
      <w:pPr>
        <w:ind w:left="6404" w:hanging="360"/>
      </w:pPr>
      <w:rPr>
        <w:rFonts w:ascii="Wingdings" w:hAnsi="Wingdings" w:hint="default"/>
      </w:rPr>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8"/>
  </w:num>
  <w:num w:numId="3">
    <w:abstractNumId w:val="7"/>
  </w:num>
  <w:num w:numId="4">
    <w:abstractNumId w:val="31"/>
  </w:num>
  <w:num w:numId="5">
    <w:abstractNumId w:val="27"/>
  </w:num>
  <w:num w:numId="6">
    <w:abstractNumId w:val="21"/>
  </w:num>
  <w:num w:numId="7">
    <w:abstractNumId w:val="18"/>
  </w:num>
  <w:num w:numId="8">
    <w:abstractNumId w:val="26"/>
  </w:num>
  <w:num w:numId="9">
    <w:abstractNumId w:val="44"/>
  </w:num>
  <w:num w:numId="10">
    <w:abstractNumId w:val="13"/>
  </w:num>
  <w:num w:numId="11">
    <w:abstractNumId w:val="14"/>
  </w:num>
  <w:num w:numId="12">
    <w:abstractNumId w:val="15"/>
  </w:num>
  <w:num w:numId="13">
    <w:abstractNumId w:val="30"/>
  </w:num>
  <w:num w:numId="14">
    <w:abstractNumId w:val="35"/>
  </w:num>
  <w:num w:numId="15">
    <w:abstractNumId w:val="40"/>
  </w:num>
  <w:num w:numId="16">
    <w:abstractNumId w:val="9"/>
  </w:num>
  <w:num w:numId="17">
    <w:abstractNumId w:val="25"/>
  </w:num>
  <w:num w:numId="18">
    <w:abstractNumId w:val="29"/>
  </w:num>
  <w:num w:numId="19">
    <w:abstractNumId w:val="34"/>
  </w:num>
  <w:num w:numId="20">
    <w:abstractNumId w:val="11"/>
  </w:num>
  <w:num w:numId="21">
    <w:abstractNumId w:val="28"/>
  </w:num>
  <w:num w:numId="22">
    <w:abstractNumId w:val="16"/>
  </w:num>
  <w:num w:numId="23">
    <w:abstractNumId w:val="20"/>
  </w:num>
  <w:num w:numId="24">
    <w:abstractNumId w:val="37"/>
  </w:num>
  <w:num w:numId="25">
    <w:abstractNumId w:val="24"/>
  </w:num>
  <w:num w:numId="26">
    <w:abstractNumId w:val="23"/>
  </w:num>
  <w:num w:numId="27">
    <w:abstractNumId w:val="41"/>
  </w:num>
  <w:num w:numId="28">
    <w:abstractNumId w:val="42"/>
  </w:num>
  <w:num w:numId="29">
    <w:abstractNumId w:val="1"/>
  </w:num>
  <w:num w:numId="30">
    <w:abstractNumId w:val="36"/>
  </w:num>
  <w:num w:numId="31">
    <w:abstractNumId w:val="32"/>
  </w:num>
  <w:num w:numId="32">
    <w:abstractNumId w:val="5"/>
  </w:num>
  <w:num w:numId="33">
    <w:abstractNumId w:val="6"/>
  </w:num>
  <w:num w:numId="34">
    <w:abstractNumId w:val="4"/>
  </w:num>
  <w:num w:numId="35">
    <w:abstractNumId w:val="0"/>
  </w:num>
  <w:num w:numId="36">
    <w:abstractNumId w:val="33"/>
  </w:num>
  <w:num w:numId="37">
    <w:abstractNumId w:val="43"/>
  </w:num>
  <w:num w:numId="38">
    <w:abstractNumId w:val="10"/>
  </w:num>
  <w:num w:numId="39">
    <w:abstractNumId w:val="12"/>
  </w:num>
  <w:num w:numId="40">
    <w:abstractNumId w:val="17"/>
  </w:num>
  <w:num w:numId="41">
    <w:abstractNumId w:val="2"/>
  </w:num>
  <w:num w:numId="42">
    <w:abstractNumId w:val="19"/>
  </w:num>
  <w:num w:numId="43">
    <w:abstractNumId w:val="22"/>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761ED"/>
    <w:rsid w:val="00085CA1"/>
    <w:rsid w:val="00087F35"/>
    <w:rsid w:val="0009286D"/>
    <w:rsid w:val="000A7A2C"/>
    <w:rsid w:val="000B1236"/>
    <w:rsid w:val="000B6140"/>
    <w:rsid w:val="000C4AE6"/>
    <w:rsid w:val="000C5D91"/>
    <w:rsid w:val="000D24E3"/>
    <w:rsid w:val="000D2B44"/>
    <w:rsid w:val="000D40DB"/>
    <w:rsid w:val="000E0721"/>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297B"/>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79F0"/>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2E83"/>
    <w:rsid w:val="004A7ED9"/>
    <w:rsid w:val="004C35B5"/>
    <w:rsid w:val="004C73B6"/>
    <w:rsid w:val="004D2FD8"/>
    <w:rsid w:val="004F13A1"/>
    <w:rsid w:val="004F5C57"/>
    <w:rsid w:val="00501FF0"/>
    <w:rsid w:val="005108FD"/>
    <w:rsid w:val="00525E85"/>
    <w:rsid w:val="00535826"/>
    <w:rsid w:val="00536B4A"/>
    <w:rsid w:val="00540384"/>
    <w:rsid w:val="00543F1F"/>
    <w:rsid w:val="0056432B"/>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5169"/>
    <w:rsid w:val="00853F9D"/>
    <w:rsid w:val="008552E8"/>
    <w:rsid w:val="0085667F"/>
    <w:rsid w:val="008617F3"/>
    <w:rsid w:val="008766DD"/>
    <w:rsid w:val="008808CB"/>
    <w:rsid w:val="00882B76"/>
    <w:rsid w:val="008859E6"/>
    <w:rsid w:val="008A39B7"/>
    <w:rsid w:val="008B5A9D"/>
    <w:rsid w:val="008D4F38"/>
    <w:rsid w:val="008E40E2"/>
    <w:rsid w:val="008F198A"/>
    <w:rsid w:val="008F5ABE"/>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9F63E0"/>
    <w:rsid w:val="00A039CA"/>
    <w:rsid w:val="00A23828"/>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412A"/>
    <w:rsid w:val="00E95CFC"/>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9F63E0"/>
    <w:pPr>
      <w:autoSpaceDE w:val="0"/>
      <w:autoSpaceDN w:val="0"/>
      <w:adjustRightInd w:val="0"/>
    </w:pPr>
    <w:rPr>
      <w:rFonts w:ascii="Cambria" w:eastAsia="Calibri" w:hAnsi="Cambria" w:cs="Cambria"/>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Smetkovodstvo</cp:lastModifiedBy>
  <cp:revision>11</cp:revision>
  <cp:lastPrinted>2012-09-24T10:13:00Z</cp:lastPrinted>
  <dcterms:created xsi:type="dcterms:W3CDTF">2018-12-18T11:40:00Z</dcterms:created>
  <dcterms:modified xsi:type="dcterms:W3CDTF">2019-10-09T19:47:00Z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